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23B" w:rsidRPr="0063175E" w:rsidRDefault="000A523B" w:rsidP="000A523B">
      <w:pPr>
        <w:spacing w:line="480" w:lineRule="auto"/>
        <w:jc w:val="center"/>
        <w:rPr>
          <w:rFonts w:ascii="Times New Roman" w:hAnsi="Times New Roman" w:cs="Times New Roman"/>
          <w:sz w:val="24"/>
          <w:szCs w:val="24"/>
        </w:rPr>
      </w:pPr>
      <w:r w:rsidRPr="0063175E">
        <w:rPr>
          <w:rFonts w:ascii="Times New Roman" w:hAnsi="Times New Roman" w:cs="Times New Roman"/>
          <w:sz w:val="24"/>
          <w:szCs w:val="24"/>
        </w:rPr>
        <w:t>Hewlett Packard Company</w:t>
      </w:r>
    </w:p>
    <w:p w:rsidR="007B5363" w:rsidRPr="0063175E" w:rsidRDefault="007B5363" w:rsidP="007B5363">
      <w:pPr>
        <w:pStyle w:val="ListParagraph"/>
        <w:numPr>
          <w:ilvl w:val="0"/>
          <w:numId w:val="1"/>
        </w:numPr>
        <w:spacing w:line="480" w:lineRule="auto"/>
        <w:rPr>
          <w:rFonts w:ascii="Times New Roman" w:hAnsi="Times New Roman" w:cs="Times New Roman"/>
          <w:b/>
          <w:sz w:val="24"/>
          <w:szCs w:val="24"/>
        </w:rPr>
      </w:pPr>
      <w:r w:rsidRPr="0063175E">
        <w:rPr>
          <w:rFonts w:ascii="Times New Roman" w:hAnsi="Times New Roman" w:cs="Times New Roman"/>
          <w:b/>
          <w:sz w:val="24"/>
          <w:szCs w:val="24"/>
        </w:rPr>
        <w:t>History</w:t>
      </w:r>
    </w:p>
    <w:p w:rsidR="007B5363" w:rsidRPr="0063175E" w:rsidRDefault="007B5363" w:rsidP="006A603A">
      <w:pPr>
        <w:pStyle w:val="ListParagraph"/>
        <w:spacing w:line="480" w:lineRule="auto"/>
        <w:ind w:firstLine="720"/>
        <w:rPr>
          <w:rFonts w:ascii="Times New Roman" w:hAnsi="Times New Roman" w:cs="Times New Roman"/>
          <w:sz w:val="24"/>
          <w:szCs w:val="24"/>
        </w:rPr>
      </w:pPr>
      <w:r w:rsidRPr="0063175E">
        <w:rPr>
          <w:rFonts w:ascii="Times New Roman" w:hAnsi="Times New Roman" w:cs="Times New Roman"/>
          <w:sz w:val="24"/>
          <w:szCs w:val="24"/>
        </w:rPr>
        <w:t xml:space="preserve">Hewlett-Packard Company, or HP (NYSE: HPQ), was created in 1939 by Bill Hewlett and David Packard. Corporate headquarters are located in Palo Alto, CA.  HP leads the world in information technology, constantly learning of and developing new ways to expand their portfolio to meet the specific needs of their customers. HP’s revenue for the fiscal year 2009 was $114.6 billion.  Mike </w:t>
      </w:r>
      <w:proofErr w:type="spellStart"/>
      <w:r w:rsidRPr="0063175E">
        <w:rPr>
          <w:rFonts w:ascii="Times New Roman" w:hAnsi="Times New Roman" w:cs="Times New Roman"/>
          <w:sz w:val="24"/>
          <w:szCs w:val="24"/>
        </w:rPr>
        <w:t>Hurd</w:t>
      </w:r>
      <w:proofErr w:type="spellEnd"/>
      <w:r w:rsidRPr="0063175E">
        <w:rPr>
          <w:rFonts w:ascii="Times New Roman" w:hAnsi="Times New Roman" w:cs="Times New Roman"/>
          <w:sz w:val="24"/>
          <w:szCs w:val="24"/>
        </w:rPr>
        <w:t xml:space="preserve"> has been President and CEO since 2005.  HP has three groups of industry-leading technology, which are the Personal Systems Group, the Imaging and Printing Group, and Enterprise Business Group.  </w:t>
      </w:r>
    </w:p>
    <w:p w:rsidR="007B5363" w:rsidRPr="0063175E" w:rsidRDefault="007B5363" w:rsidP="007B5363">
      <w:pPr>
        <w:pStyle w:val="ListParagraph"/>
        <w:numPr>
          <w:ilvl w:val="0"/>
          <w:numId w:val="1"/>
        </w:numPr>
        <w:spacing w:line="480" w:lineRule="auto"/>
        <w:rPr>
          <w:rFonts w:ascii="Times New Roman" w:hAnsi="Times New Roman" w:cs="Times New Roman"/>
          <w:b/>
          <w:sz w:val="24"/>
          <w:szCs w:val="24"/>
        </w:rPr>
      </w:pPr>
      <w:r w:rsidRPr="0063175E">
        <w:rPr>
          <w:rFonts w:ascii="Times New Roman" w:hAnsi="Times New Roman" w:cs="Times New Roman"/>
          <w:b/>
          <w:sz w:val="24"/>
          <w:szCs w:val="24"/>
        </w:rPr>
        <w:t>Company Analysis</w:t>
      </w:r>
    </w:p>
    <w:p w:rsidR="00986F6F" w:rsidRPr="0063175E" w:rsidRDefault="00986F6F" w:rsidP="00986F6F">
      <w:pPr>
        <w:pStyle w:val="ListParagraph"/>
        <w:spacing w:line="480" w:lineRule="auto"/>
        <w:rPr>
          <w:rFonts w:ascii="Times New Roman" w:hAnsi="Times New Roman" w:cs="Times New Roman"/>
          <w:sz w:val="24"/>
          <w:szCs w:val="24"/>
        </w:rPr>
      </w:pPr>
      <w:r w:rsidRPr="0063175E">
        <w:rPr>
          <w:rFonts w:ascii="Times New Roman" w:hAnsi="Times New Roman" w:cs="Times New Roman"/>
          <w:sz w:val="24"/>
          <w:szCs w:val="24"/>
          <w:u w:val="single"/>
        </w:rPr>
        <w:t>SWOT Analysis</w:t>
      </w:r>
      <w:r w:rsidRPr="0063175E">
        <w:rPr>
          <w:rFonts w:ascii="Times New Roman" w:hAnsi="Times New Roman" w:cs="Times New Roman"/>
          <w:sz w:val="24"/>
          <w:szCs w:val="24"/>
        </w:rPr>
        <w:t xml:space="preserve"> – </w:t>
      </w:r>
      <w:r w:rsidR="007B5363" w:rsidRPr="0063175E">
        <w:rPr>
          <w:rFonts w:ascii="Times New Roman" w:hAnsi="Times New Roman" w:cs="Times New Roman"/>
          <w:sz w:val="24"/>
          <w:szCs w:val="24"/>
        </w:rPr>
        <w:t>Strengths</w:t>
      </w:r>
    </w:p>
    <w:p w:rsidR="00986F6F" w:rsidRPr="0063175E" w:rsidRDefault="00986F6F" w:rsidP="00986F6F">
      <w:pPr>
        <w:pStyle w:val="ListParagraph"/>
        <w:numPr>
          <w:ilvl w:val="0"/>
          <w:numId w:val="3"/>
        </w:numPr>
        <w:spacing w:line="480" w:lineRule="auto"/>
        <w:rPr>
          <w:rFonts w:ascii="Times New Roman" w:hAnsi="Times New Roman" w:cs="Times New Roman"/>
          <w:sz w:val="24"/>
          <w:szCs w:val="24"/>
        </w:rPr>
      </w:pPr>
      <w:r w:rsidRPr="0063175E">
        <w:rPr>
          <w:rFonts w:ascii="Times New Roman" w:hAnsi="Times New Roman" w:cs="Times New Roman"/>
          <w:sz w:val="24"/>
          <w:szCs w:val="24"/>
        </w:rPr>
        <w:t>S</w:t>
      </w:r>
      <w:r w:rsidR="007B5363" w:rsidRPr="0063175E">
        <w:rPr>
          <w:rFonts w:ascii="Times New Roman" w:hAnsi="Times New Roman" w:cs="Times New Roman"/>
          <w:sz w:val="24"/>
          <w:szCs w:val="24"/>
        </w:rPr>
        <w:t>uccessful growth throu</w:t>
      </w:r>
      <w:r w:rsidRPr="0063175E">
        <w:rPr>
          <w:rFonts w:ascii="Times New Roman" w:hAnsi="Times New Roman" w:cs="Times New Roman"/>
          <w:sz w:val="24"/>
          <w:szCs w:val="24"/>
        </w:rPr>
        <w:t xml:space="preserve">gh mergers and acquisitions </w:t>
      </w:r>
      <w:r w:rsidR="007B5363" w:rsidRPr="0063175E">
        <w:rPr>
          <w:rFonts w:ascii="Times New Roman" w:hAnsi="Times New Roman" w:cs="Times New Roman"/>
          <w:sz w:val="24"/>
          <w:szCs w:val="24"/>
        </w:rPr>
        <w:t>(inorganic growth/ synergy)</w:t>
      </w:r>
    </w:p>
    <w:p w:rsidR="00986F6F" w:rsidRPr="0063175E" w:rsidRDefault="00986F6F" w:rsidP="00986F6F">
      <w:pPr>
        <w:pStyle w:val="ListParagraph"/>
        <w:numPr>
          <w:ilvl w:val="0"/>
          <w:numId w:val="3"/>
        </w:numPr>
        <w:spacing w:line="480" w:lineRule="auto"/>
        <w:rPr>
          <w:rFonts w:ascii="Times New Roman" w:hAnsi="Times New Roman" w:cs="Times New Roman"/>
          <w:sz w:val="24"/>
          <w:szCs w:val="24"/>
        </w:rPr>
      </w:pPr>
      <w:r w:rsidRPr="0063175E">
        <w:rPr>
          <w:rFonts w:ascii="Times New Roman" w:hAnsi="Times New Roman" w:cs="Times New Roman"/>
          <w:sz w:val="24"/>
          <w:szCs w:val="24"/>
        </w:rPr>
        <w:t>E</w:t>
      </w:r>
      <w:r w:rsidR="007B5363" w:rsidRPr="0063175E">
        <w:rPr>
          <w:rFonts w:ascii="Times New Roman" w:hAnsi="Times New Roman" w:cs="Times New Roman"/>
          <w:sz w:val="24"/>
          <w:szCs w:val="24"/>
        </w:rPr>
        <w:t>nterprise solutions, specifically services</w:t>
      </w:r>
    </w:p>
    <w:p w:rsidR="00986F6F" w:rsidRPr="0063175E" w:rsidRDefault="00986F6F" w:rsidP="00986F6F">
      <w:pPr>
        <w:pStyle w:val="ListParagraph"/>
        <w:numPr>
          <w:ilvl w:val="0"/>
          <w:numId w:val="3"/>
        </w:numPr>
        <w:spacing w:line="480" w:lineRule="auto"/>
        <w:rPr>
          <w:rFonts w:ascii="Times New Roman" w:hAnsi="Times New Roman" w:cs="Times New Roman"/>
          <w:sz w:val="24"/>
          <w:szCs w:val="24"/>
        </w:rPr>
      </w:pPr>
      <w:r w:rsidRPr="0063175E">
        <w:rPr>
          <w:rFonts w:ascii="Times New Roman" w:hAnsi="Times New Roman" w:cs="Times New Roman"/>
          <w:sz w:val="24"/>
          <w:szCs w:val="24"/>
        </w:rPr>
        <w:t>Strong market position</w:t>
      </w:r>
    </w:p>
    <w:p w:rsidR="00986F6F" w:rsidRPr="0063175E" w:rsidRDefault="00986F6F" w:rsidP="00986F6F">
      <w:pPr>
        <w:pStyle w:val="ListParagraph"/>
        <w:numPr>
          <w:ilvl w:val="0"/>
          <w:numId w:val="3"/>
        </w:numPr>
        <w:spacing w:line="480" w:lineRule="auto"/>
        <w:rPr>
          <w:rFonts w:ascii="Times New Roman" w:hAnsi="Times New Roman" w:cs="Times New Roman"/>
          <w:sz w:val="24"/>
          <w:szCs w:val="24"/>
        </w:rPr>
      </w:pPr>
      <w:r w:rsidRPr="0063175E">
        <w:rPr>
          <w:rFonts w:ascii="Times New Roman" w:hAnsi="Times New Roman" w:cs="Times New Roman"/>
          <w:sz w:val="24"/>
          <w:szCs w:val="24"/>
        </w:rPr>
        <w:t>Brand recognition</w:t>
      </w:r>
    </w:p>
    <w:p w:rsidR="007B5363" w:rsidRPr="0063175E" w:rsidRDefault="00986F6F" w:rsidP="00986F6F">
      <w:pPr>
        <w:pStyle w:val="ListParagraph"/>
        <w:spacing w:line="480" w:lineRule="auto"/>
        <w:rPr>
          <w:rFonts w:ascii="Times New Roman" w:hAnsi="Times New Roman" w:cs="Times New Roman"/>
          <w:sz w:val="24"/>
          <w:szCs w:val="24"/>
        </w:rPr>
      </w:pPr>
      <w:r w:rsidRPr="0063175E">
        <w:rPr>
          <w:rFonts w:ascii="Times New Roman" w:hAnsi="Times New Roman" w:cs="Times New Roman"/>
          <w:sz w:val="24"/>
          <w:szCs w:val="24"/>
        </w:rPr>
        <w:t>Weaknesses</w:t>
      </w:r>
    </w:p>
    <w:p w:rsidR="00986F6F" w:rsidRPr="0063175E" w:rsidRDefault="00986F6F" w:rsidP="00986F6F">
      <w:pPr>
        <w:pStyle w:val="ListParagraph"/>
        <w:numPr>
          <w:ilvl w:val="0"/>
          <w:numId w:val="3"/>
        </w:numPr>
        <w:spacing w:line="480" w:lineRule="auto"/>
        <w:rPr>
          <w:rFonts w:ascii="Times New Roman" w:hAnsi="Times New Roman" w:cs="Times New Roman"/>
          <w:sz w:val="24"/>
          <w:szCs w:val="24"/>
        </w:rPr>
      </w:pPr>
      <w:r w:rsidRPr="0063175E">
        <w:rPr>
          <w:rFonts w:ascii="Times New Roman" w:hAnsi="Times New Roman" w:cs="Times New Roman"/>
          <w:sz w:val="24"/>
          <w:szCs w:val="24"/>
        </w:rPr>
        <w:t xml:space="preserve">Too large of a focus in desktop computers, </w:t>
      </w:r>
      <w:proofErr w:type="spellStart"/>
      <w:r w:rsidRPr="0063175E">
        <w:rPr>
          <w:rFonts w:ascii="Times New Roman" w:hAnsi="Times New Roman" w:cs="Times New Roman"/>
          <w:sz w:val="24"/>
          <w:szCs w:val="24"/>
        </w:rPr>
        <w:t>netbooks</w:t>
      </w:r>
      <w:proofErr w:type="spellEnd"/>
      <w:r w:rsidRPr="0063175E">
        <w:rPr>
          <w:rFonts w:ascii="Times New Roman" w:hAnsi="Times New Roman" w:cs="Times New Roman"/>
          <w:sz w:val="24"/>
          <w:szCs w:val="24"/>
        </w:rPr>
        <w:t xml:space="preserve"> and slates</w:t>
      </w:r>
      <w:r w:rsidR="003F73F0" w:rsidRPr="0063175E">
        <w:rPr>
          <w:rFonts w:ascii="Times New Roman" w:hAnsi="Times New Roman" w:cs="Times New Roman"/>
          <w:sz w:val="24"/>
          <w:szCs w:val="24"/>
        </w:rPr>
        <w:t xml:space="preserve"> (wrong business)</w:t>
      </w:r>
    </w:p>
    <w:p w:rsidR="00986F6F" w:rsidRPr="0063175E" w:rsidRDefault="00986F6F" w:rsidP="00986F6F">
      <w:pPr>
        <w:pStyle w:val="ListParagraph"/>
        <w:numPr>
          <w:ilvl w:val="0"/>
          <w:numId w:val="3"/>
        </w:numPr>
        <w:spacing w:line="480" w:lineRule="auto"/>
        <w:rPr>
          <w:rFonts w:ascii="Times New Roman" w:hAnsi="Times New Roman" w:cs="Times New Roman"/>
          <w:sz w:val="24"/>
          <w:szCs w:val="24"/>
        </w:rPr>
      </w:pPr>
      <w:r w:rsidRPr="0063175E">
        <w:rPr>
          <w:rFonts w:ascii="Times New Roman" w:hAnsi="Times New Roman" w:cs="Times New Roman"/>
          <w:sz w:val="24"/>
          <w:szCs w:val="24"/>
        </w:rPr>
        <w:t>Not as complete in business services division as competitors (IBM and ACN)</w:t>
      </w:r>
    </w:p>
    <w:p w:rsidR="00986F6F" w:rsidRPr="0063175E" w:rsidRDefault="00986F6F" w:rsidP="00986F6F">
      <w:pPr>
        <w:pStyle w:val="ListParagraph"/>
        <w:spacing w:line="480" w:lineRule="auto"/>
        <w:rPr>
          <w:rFonts w:ascii="Times New Roman" w:hAnsi="Times New Roman" w:cs="Times New Roman"/>
          <w:sz w:val="24"/>
          <w:szCs w:val="24"/>
        </w:rPr>
      </w:pPr>
      <w:r w:rsidRPr="0063175E">
        <w:rPr>
          <w:rFonts w:ascii="Times New Roman" w:hAnsi="Times New Roman" w:cs="Times New Roman"/>
          <w:sz w:val="24"/>
          <w:szCs w:val="24"/>
        </w:rPr>
        <w:t>Opportunities</w:t>
      </w:r>
    </w:p>
    <w:p w:rsidR="00986F6F" w:rsidRPr="0063175E" w:rsidRDefault="00986F6F" w:rsidP="00986F6F">
      <w:pPr>
        <w:pStyle w:val="ListParagraph"/>
        <w:numPr>
          <w:ilvl w:val="0"/>
          <w:numId w:val="3"/>
        </w:numPr>
        <w:spacing w:line="480" w:lineRule="auto"/>
        <w:rPr>
          <w:rFonts w:ascii="Times New Roman" w:hAnsi="Times New Roman" w:cs="Times New Roman"/>
          <w:sz w:val="24"/>
          <w:szCs w:val="24"/>
        </w:rPr>
      </w:pPr>
      <w:r w:rsidRPr="0063175E">
        <w:rPr>
          <w:rFonts w:ascii="Times New Roman" w:hAnsi="Times New Roman" w:cs="Times New Roman"/>
          <w:sz w:val="24"/>
          <w:szCs w:val="24"/>
        </w:rPr>
        <w:t>Expansion of business services division through mergers</w:t>
      </w:r>
    </w:p>
    <w:p w:rsidR="000A523B" w:rsidRPr="0063175E" w:rsidRDefault="00986F6F" w:rsidP="000A523B">
      <w:pPr>
        <w:pStyle w:val="ListParagraph"/>
        <w:numPr>
          <w:ilvl w:val="0"/>
          <w:numId w:val="3"/>
        </w:numPr>
        <w:spacing w:line="480" w:lineRule="auto"/>
        <w:rPr>
          <w:rFonts w:ascii="Times New Roman" w:hAnsi="Times New Roman" w:cs="Times New Roman"/>
          <w:sz w:val="24"/>
          <w:szCs w:val="24"/>
        </w:rPr>
      </w:pPr>
      <w:r w:rsidRPr="0063175E">
        <w:rPr>
          <w:rFonts w:ascii="Times New Roman" w:hAnsi="Times New Roman" w:cs="Times New Roman"/>
          <w:sz w:val="24"/>
          <w:szCs w:val="24"/>
        </w:rPr>
        <w:t>Expanding imaging and printing division through mergers</w:t>
      </w:r>
    </w:p>
    <w:p w:rsidR="00986F6F" w:rsidRPr="0063175E" w:rsidRDefault="00986F6F" w:rsidP="000A523B">
      <w:pPr>
        <w:pStyle w:val="ListParagraph"/>
        <w:spacing w:line="480" w:lineRule="auto"/>
        <w:rPr>
          <w:rFonts w:ascii="Times New Roman" w:hAnsi="Times New Roman" w:cs="Times New Roman"/>
          <w:sz w:val="24"/>
          <w:szCs w:val="24"/>
        </w:rPr>
      </w:pPr>
      <w:r w:rsidRPr="0063175E">
        <w:rPr>
          <w:rFonts w:ascii="Times New Roman" w:hAnsi="Times New Roman" w:cs="Times New Roman"/>
          <w:sz w:val="24"/>
          <w:szCs w:val="24"/>
        </w:rPr>
        <w:t>Threats</w:t>
      </w:r>
    </w:p>
    <w:p w:rsidR="000A523B" w:rsidRPr="0063175E" w:rsidRDefault="000A523B" w:rsidP="000A523B">
      <w:pPr>
        <w:pStyle w:val="ListParagraph"/>
        <w:numPr>
          <w:ilvl w:val="0"/>
          <w:numId w:val="3"/>
        </w:numPr>
        <w:spacing w:line="480" w:lineRule="auto"/>
        <w:rPr>
          <w:rFonts w:ascii="Times New Roman" w:hAnsi="Times New Roman" w:cs="Times New Roman"/>
          <w:sz w:val="24"/>
          <w:szCs w:val="24"/>
        </w:rPr>
      </w:pPr>
      <w:r w:rsidRPr="0063175E">
        <w:rPr>
          <w:rFonts w:ascii="Times New Roman" w:hAnsi="Times New Roman" w:cs="Times New Roman"/>
          <w:sz w:val="24"/>
          <w:szCs w:val="24"/>
        </w:rPr>
        <w:lastRenderedPageBreak/>
        <w:t>Current economic downturn</w:t>
      </w:r>
    </w:p>
    <w:p w:rsidR="000A523B" w:rsidRPr="0063175E" w:rsidRDefault="000A523B" w:rsidP="000A523B">
      <w:pPr>
        <w:pStyle w:val="ListParagraph"/>
        <w:numPr>
          <w:ilvl w:val="0"/>
          <w:numId w:val="3"/>
        </w:numPr>
        <w:spacing w:line="480" w:lineRule="auto"/>
        <w:rPr>
          <w:rFonts w:ascii="Times New Roman" w:hAnsi="Times New Roman" w:cs="Times New Roman"/>
          <w:sz w:val="24"/>
          <w:szCs w:val="24"/>
        </w:rPr>
      </w:pPr>
      <w:r w:rsidRPr="0063175E">
        <w:rPr>
          <w:rFonts w:ascii="Times New Roman" w:hAnsi="Times New Roman" w:cs="Times New Roman"/>
          <w:sz w:val="24"/>
          <w:szCs w:val="24"/>
        </w:rPr>
        <w:t>All markets are highly competitive</w:t>
      </w:r>
    </w:p>
    <w:p w:rsidR="000A523B" w:rsidRPr="0063175E" w:rsidRDefault="000744D8" w:rsidP="00CD0651">
      <w:pPr>
        <w:pStyle w:val="ListParagraph"/>
        <w:spacing w:line="480" w:lineRule="auto"/>
        <w:rPr>
          <w:rFonts w:ascii="Times New Roman" w:hAnsi="Times New Roman" w:cs="Times New Roman"/>
          <w:sz w:val="24"/>
          <w:szCs w:val="24"/>
          <w:u w:val="single"/>
        </w:rPr>
      </w:pPr>
      <w:r w:rsidRPr="0063175E">
        <w:rPr>
          <w:rFonts w:ascii="Times New Roman" w:hAnsi="Times New Roman" w:cs="Times New Roman"/>
          <w:noProof/>
          <w:sz w:val="24"/>
          <w:szCs w:val="24"/>
        </w:rPr>
        <w:drawing>
          <wp:anchor distT="0" distB="0" distL="114300" distR="114300" simplePos="0" relativeHeight="251662336" behindDoc="0" locked="0" layoutInCell="1" allowOverlap="1">
            <wp:simplePos x="0" y="0"/>
            <wp:positionH relativeFrom="column">
              <wp:posOffset>3086100</wp:posOffset>
            </wp:positionH>
            <wp:positionV relativeFrom="paragraph">
              <wp:posOffset>240665</wp:posOffset>
            </wp:positionV>
            <wp:extent cx="2830195" cy="1918335"/>
            <wp:effectExtent l="19050" t="0" r="27305" b="5715"/>
            <wp:wrapThrough wrapText="bothSides">
              <wp:wrapPolygon edited="0">
                <wp:start x="-145" y="0"/>
                <wp:lineTo x="-145" y="21664"/>
                <wp:lineTo x="21808" y="21664"/>
                <wp:lineTo x="21808" y="0"/>
                <wp:lineTo x="-145" y="0"/>
              </wp:wrapPolygon>
            </wp:wrapThrough>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sidRPr="0063175E">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19050</wp:posOffset>
            </wp:positionH>
            <wp:positionV relativeFrom="paragraph">
              <wp:posOffset>232410</wp:posOffset>
            </wp:positionV>
            <wp:extent cx="2833370" cy="1920240"/>
            <wp:effectExtent l="19050" t="0" r="24130" b="3810"/>
            <wp:wrapThrough wrapText="bothSides">
              <wp:wrapPolygon edited="0">
                <wp:start x="-145" y="0"/>
                <wp:lineTo x="-145" y="21643"/>
                <wp:lineTo x="21784" y="21643"/>
                <wp:lineTo x="21784" y="0"/>
                <wp:lineTo x="-145" y="0"/>
              </wp:wrapPolygon>
            </wp:wrapThrough>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sidR="000A523B" w:rsidRPr="0063175E">
        <w:rPr>
          <w:rFonts w:ascii="Times New Roman" w:hAnsi="Times New Roman" w:cs="Times New Roman"/>
          <w:sz w:val="24"/>
          <w:szCs w:val="24"/>
          <w:u w:val="single"/>
        </w:rPr>
        <w:t>Market Segment Analysis</w:t>
      </w:r>
    </w:p>
    <w:p w:rsidR="006A603A" w:rsidRPr="0063175E" w:rsidRDefault="000744D8" w:rsidP="006A603A">
      <w:pPr>
        <w:pStyle w:val="ListParagraph"/>
        <w:spacing w:line="480" w:lineRule="auto"/>
        <w:ind w:firstLine="720"/>
        <w:rPr>
          <w:rFonts w:ascii="Times New Roman" w:hAnsi="Times New Roman" w:cs="Times New Roman"/>
          <w:sz w:val="24"/>
          <w:szCs w:val="24"/>
        </w:rPr>
      </w:pPr>
      <w:r w:rsidRPr="0063175E">
        <w:rPr>
          <w:rFonts w:ascii="Times New Roman" w:hAnsi="Times New Roman" w:cs="Times New Roman"/>
          <w:noProof/>
          <w:sz w:val="24"/>
          <w:szCs w:val="24"/>
          <w:u w:val="single"/>
        </w:rPr>
        <w:drawing>
          <wp:anchor distT="0" distB="0" distL="114300" distR="114300" simplePos="0" relativeHeight="251661312" behindDoc="0" locked="0" layoutInCell="1" allowOverlap="1">
            <wp:simplePos x="0" y="0"/>
            <wp:positionH relativeFrom="column">
              <wp:posOffset>3089910</wp:posOffset>
            </wp:positionH>
            <wp:positionV relativeFrom="paragraph">
              <wp:posOffset>137160</wp:posOffset>
            </wp:positionV>
            <wp:extent cx="2825750" cy="1918335"/>
            <wp:effectExtent l="19050" t="0" r="12700" b="5715"/>
            <wp:wrapThrough wrapText="bothSides">
              <wp:wrapPolygon edited="0">
                <wp:start x="-146" y="0"/>
                <wp:lineTo x="-146" y="21664"/>
                <wp:lineTo x="21697" y="21664"/>
                <wp:lineTo x="21697" y="0"/>
                <wp:lineTo x="-146" y="0"/>
              </wp:wrapPolygon>
            </wp:wrapThrough>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Pr="0063175E">
        <w:rPr>
          <w:rFonts w:ascii="Times New Roman" w:hAnsi="Times New Roman" w:cs="Times New Roman"/>
          <w:noProof/>
          <w:sz w:val="24"/>
          <w:szCs w:val="24"/>
          <w:u w:val="single"/>
        </w:rPr>
        <w:drawing>
          <wp:anchor distT="0" distB="0" distL="114300" distR="114300" simplePos="0" relativeHeight="251660288" behindDoc="0" locked="0" layoutInCell="1" allowOverlap="1">
            <wp:simplePos x="0" y="0"/>
            <wp:positionH relativeFrom="column">
              <wp:posOffset>0</wp:posOffset>
            </wp:positionH>
            <wp:positionV relativeFrom="paragraph">
              <wp:posOffset>141605</wp:posOffset>
            </wp:positionV>
            <wp:extent cx="2830195" cy="1918970"/>
            <wp:effectExtent l="19050" t="0" r="27305" b="5080"/>
            <wp:wrapThrough wrapText="bothSides">
              <wp:wrapPolygon edited="0">
                <wp:start x="-145" y="0"/>
                <wp:lineTo x="-145" y="21657"/>
                <wp:lineTo x="21808" y="21657"/>
                <wp:lineTo x="21808" y="0"/>
                <wp:lineTo x="-145" y="0"/>
              </wp:wrapPolygon>
            </wp:wrapThrough>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CD0651" w:rsidRPr="0063175E">
        <w:rPr>
          <w:rFonts w:ascii="Times New Roman" w:hAnsi="Times New Roman" w:cs="Times New Roman"/>
          <w:sz w:val="24"/>
          <w:szCs w:val="24"/>
        </w:rPr>
        <w:t xml:space="preserve">Based on the comparison between segmented revenue and segmented profit, Hewlett Packard’s growth is being driven primarily by its services division. </w:t>
      </w:r>
      <w:r w:rsidR="00104E06" w:rsidRPr="0063175E">
        <w:rPr>
          <w:rFonts w:ascii="Times New Roman" w:hAnsi="Times New Roman" w:cs="Times New Roman"/>
          <w:sz w:val="24"/>
          <w:szCs w:val="24"/>
        </w:rPr>
        <w:t xml:space="preserve">The success in the division can be largely accredited to the acquisition of EDS in 2008 and what the acquisition brought to the services division. Also, the return from the Personal Systems Group is much lower than the other two major divisions. The personal computing market is highly competitive and there for offers lower returns.  </w:t>
      </w:r>
      <w:r w:rsidR="0012325B" w:rsidRPr="0063175E">
        <w:rPr>
          <w:rFonts w:ascii="Times New Roman" w:hAnsi="Times New Roman" w:cs="Times New Roman"/>
          <w:sz w:val="24"/>
          <w:szCs w:val="24"/>
        </w:rPr>
        <w:t>The market is becoming a commodity market, where computers are increasingly becoming indistinguishable, as the majority of the parts in the computer are outsourced by all companies</w:t>
      </w:r>
      <w:r w:rsidR="00CD3106">
        <w:rPr>
          <w:rFonts w:ascii="Times New Roman" w:hAnsi="Times New Roman" w:cs="Times New Roman"/>
          <w:sz w:val="24"/>
          <w:szCs w:val="24"/>
        </w:rPr>
        <w:t xml:space="preserve"> to the same manufacturers</w:t>
      </w:r>
      <w:r w:rsidR="0012325B" w:rsidRPr="0063175E">
        <w:rPr>
          <w:rFonts w:ascii="Times New Roman" w:hAnsi="Times New Roman" w:cs="Times New Roman"/>
          <w:sz w:val="24"/>
          <w:szCs w:val="24"/>
        </w:rPr>
        <w:t xml:space="preserve">. Likewise, laptop computer technology is at a point where the </w:t>
      </w:r>
      <w:r w:rsidR="003F73F0" w:rsidRPr="0063175E">
        <w:rPr>
          <w:rFonts w:ascii="Times New Roman" w:hAnsi="Times New Roman" w:cs="Times New Roman"/>
          <w:sz w:val="24"/>
          <w:szCs w:val="24"/>
        </w:rPr>
        <w:t xml:space="preserve">price is </w:t>
      </w:r>
      <w:r w:rsidR="003F73F0" w:rsidRPr="0063175E">
        <w:rPr>
          <w:rFonts w:ascii="Times New Roman" w:hAnsi="Times New Roman" w:cs="Times New Roman"/>
          <w:sz w:val="24"/>
          <w:szCs w:val="24"/>
        </w:rPr>
        <w:lastRenderedPageBreak/>
        <w:t xml:space="preserve">comparable to old desktop prices, and the computing power is equal to desktops for the average consumer. Margins are slim on desktops as demand, competition and technology have driven them down. The exception to this is high end gaming computers, which Hewlett Packard has little reputation. </w:t>
      </w:r>
    </w:p>
    <w:p w:rsidR="006A603A" w:rsidRPr="0063175E" w:rsidRDefault="006A603A" w:rsidP="00715319">
      <w:pPr>
        <w:pStyle w:val="ListParagraph"/>
        <w:numPr>
          <w:ilvl w:val="0"/>
          <w:numId w:val="1"/>
        </w:numPr>
        <w:spacing w:line="480" w:lineRule="auto"/>
        <w:rPr>
          <w:rFonts w:ascii="Times New Roman" w:hAnsi="Times New Roman" w:cs="Times New Roman"/>
          <w:b/>
          <w:sz w:val="24"/>
          <w:szCs w:val="24"/>
        </w:rPr>
      </w:pPr>
      <w:r w:rsidRPr="0063175E">
        <w:rPr>
          <w:rFonts w:ascii="Times New Roman" w:hAnsi="Times New Roman" w:cs="Times New Roman"/>
          <w:b/>
          <w:sz w:val="24"/>
          <w:szCs w:val="24"/>
        </w:rPr>
        <w:t>Current Conditions</w:t>
      </w:r>
    </w:p>
    <w:p w:rsidR="006A603A" w:rsidRPr="0063175E" w:rsidRDefault="006A603A" w:rsidP="006A603A">
      <w:pPr>
        <w:pStyle w:val="ListParagraph"/>
        <w:spacing w:line="480" w:lineRule="auto"/>
        <w:ind w:firstLine="720"/>
        <w:rPr>
          <w:rFonts w:ascii="Times New Roman" w:hAnsi="Times New Roman" w:cs="Times New Roman"/>
          <w:sz w:val="24"/>
          <w:szCs w:val="24"/>
        </w:rPr>
      </w:pPr>
      <w:r w:rsidRPr="0063175E">
        <w:rPr>
          <w:rFonts w:ascii="Times New Roman" w:hAnsi="Times New Roman" w:cs="Times New Roman"/>
          <w:sz w:val="24"/>
          <w:szCs w:val="24"/>
        </w:rPr>
        <w:t>The acquisition of 3com will help us to solidify our network infrastructure product line. Although HP already creates some industry-leading switches and routers, there are holes in our offerings that we will be able to fill with 3com products. Also, some HP branded products are currently produced by other manufacturers and re-branded as HP networking equipment. Our acquisition of 3com will allow us to build all of our own products which should allow us to lower unit costs.</w:t>
      </w:r>
    </w:p>
    <w:p w:rsidR="006A603A" w:rsidRPr="0063175E" w:rsidRDefault="006A603A" w:rsidP="00CD3106">
      <w:pPr>
        <w:pStyle w:val="ListParagraph"/>
        <w:spacing w:line="480" w:lineRule="auto"/>
        <w:ind w:firstLine="720"/>
        <w:rPr>
          <w:rFonts w:ascii="Times New Roman" w:hAnsi="Times New Roman" w:cs="Times New Roman"/>
          <w:sz w:val="24"/>
          <w:szCs w:val="24"/>
        </w:rPr>
      </w:pPr>
      <w:r w:rsidRPr="0063175E">
        <w:rPr>
          <w:rFonts w:ascii="Times New Roman" w:hAnsi="Times New Roman" w:cs="Times New Roman"/>
          <w:sz w:val="24"/>
          <w:szCs w:val="24"/>
        </w:rPr>
        <w:t xml:space="preserve"> At this time we do not produce any network security devices, however 3com produces an award-winning line of security devices sold under the Tipping Point brand that we have acquired as well, this will give us the product line and the expertise to allow us to compete in the security solution market.</w:t>
      </w:r>
    </w:p>
    <w:p w:rsidR="006A603A" w:rsidRPr="0063175E" w:rsidRDefault="006A603A" w:rsidP="006A603A">
      <w:pPr>
        <w:pStyle w:val="ListParagraph"/>
        <w:spacing w:line="480" w:lineRule="auto"/>
        <w:rPr>
          <w:rFonts w:ascii="Times New Roman" w:hAnsi="Times New Roman" w:cs="Times New Roman"/>
          <w:sz w:val="24"/>
          <w:szCs w:val="24"/>
        </w:rPr>
      </w:pPr>
      <w:r w:rsidRPr="0063175E">
        <w:rPr>
          <w:rFonts w:ascii="Times New Roman" w:hAnsi="Times New Roman" w:cs="Times New Roman"/>
          <w:sz w:val="24"/>
          <w:szCs w:val="24"/>
        </w:rPr>
        <w:t xml:space="preserve"> </w:t>
      </w:r>
      <w:r w:rsidRPr="0063175E">
        <w:rPr>
          <w:rFonts w:ascii="Times New Roman" w:hAnsi="Times New Roman" w:cs="Times New Roman"/>
          <w:sz w:val="24"/>
          <w:szCs w:val="24"/>
        </w:rPr>
        <w:tab/>
        <w:t>Currently Cisco is the biggest provider of networking equipment followed by HP then 3com. Even after the merger Cisco will still be number one, but we believe that we will be able to compete with them. Additionally, 3com is the number two provider in China, a very big growth market for networking solutions.</w:t>
      </w:r>
    </w:p>
    <w:p w:rsidR="006A603A" w:rsidRPr="0063175E" w:rsidRDefault="006A603A" w:rsidP="006A603A">
      <w:pPr>
        <w:pStyle w:val="ListParagraph"/>
        <w:spacing w:line="480" w:lineRule="auto"/>
        <w:ind w:firstLine="720"/>
        <w:rPr>
          <w:rFonts w:ascii="Times New Roman" w:hAnsi="Times New Roman" w:cs="Times New Roman"/>
          <w:sz w:val="24"/>
          <w:szCs w:val="24"/>
        </w:rPr>
      </w:pPr>
      <w:r w:rsidRPr="0063175E">
        <w:rPr>
          <w:rFonts w:ascii="Times New Roman" w:hAnsi="Times New Roman" w:cs="Times New Roman"/>
          <w:sz w:val="24"/>
          <w:szCs w:val="24"/>
        </w:rPr>
        <w:t xml:space="preserve"> Most importantly, the acquisition of 3com in addition to the acquisition of Electronic Data Systems (EDS) in 2008 gives us an ability that Dell cannot match. We can create an all HP datacenter where we provide Servers, Networking Equipment - Routers and Switches built by HP, Security Solutions, and Consulting services through </w:t>
      </w:r>
      <w:r w:rsidRPr="0063175E">
        <w:rPr>
          <w:rFonts w:ascii="Times New Roman" w:hAnsi="Times New Roman" w:cs="Times New Roman"/>
          <w:sz w:val="24"/>
          <w:szCs w:val="24"/>
        </w:rPr>
        <w:lastRenderedPageBreak/>
        <w:t>EDS. Currently Dell builds Servers and has IT outsourcing/consulting Provided by Perot Systems, but they cannot build their own networking or security equipment.</w:t>
      </w:r>
    </w:p>
    <w:p w:rsidR="00715319" w:rsidRPr="0063175E" w:rsidRDefault="00715319" w:rsidP="00715319">
      <w:pPr>
        <w:pStyle w:val="ListParagraph"/>
        <w:numPr>
          <w:ilvl w:val="0"/>
          <w:numId w:val="1"/>
        </w:numPr>
        <w:spacing w:line="480" w:lineRule="auto"/>
        <w:rPr>
          <w:rFonts w:ascii="Times New Roman" w:hAnsi="Times New Roman" w:cs="Times New Roman"/>
          <w:b/>
          <w:sz w:val="24"/>
          <w:szCs w:val="24"/>
        </w:rPr>
      </w:pPr>
      <w:r w:rsidRPr="0063175E">
        <w:rPr>
          <w:rFonts w:ascii="Times New Roman" w:hAnsi="Times New Roman" w:cs="Times New Roman"/>
          <w:b/>
          <w:sz w:val="24"/>
          <w:szCs w:val="24"/>
        </w:rPr>
        <w:t>Recommendations and Justifications</w:t>
      </w:r>
    </w:p>
    <w:p w:rsidR="00715319" w:rsidRPr="0063175E" w:rsidRDefault="00715319" w:rsidP="00715319">
      <w:pPr>
        <w:pStyle w:val="ListParagraph"/>
        <w:numPr>
          <w:ilvl w:val="1"/>
          <w:numId w:val="1"/>
        </w:numPr>
        <w:spacing w:line="480" w:lineRule="auto"/>
        <w:rPr>
          <w:rFonts w:ascii="Times New Roman" w:hAnsi="Times New Roman" w:cs="Times New Roman"/>
          <w:sz w:val="24"/>
          <w:szCs w:val="24"/>
        </w:rPr>
      </w:pPr>
      <w:r w:rsidRPr="0063175E">
        <w:rPr>
          <w:rFonts w:ascii="Times New Roman" w:hAnsi="Times New Roman" w:cs="Times New Roman"/>
          <w:sz w:val="24"/>
          <w:szCs w:val="24"/>
        </w:rPr>
        <w:t>Decrease R&amp;D in netbook and slate market</w:t>
      </w:r>
    </w:p>
    <w:p w:rsidR="00715319" w:rsidRPr="0063175E" w:rsidRDefault="00715319" w:rsidP="0063175E">
      <w:pPr>
        <w:spacing w:line="480" w:lineRule="auto"/>
        <w:ind w:left="720" w:firstLine="360"/>
        <w:rPr>
          <w:rFonts w:ascii="Times New Roman" w:hAnsi="Times New Roman" w:cs="Times New Roman"/>
          <w:sz w:val="24"/>
          <w:szCs w:val="24"/>
        </w:rPr>
      </w:pPr>
      <w:r w:rsidRPr="0063175E">
        <w:rPr>
          <w:rFonts w:ascii="Times New Roman" w:hAnsi="Times New Roman" w:cs="Times New Roman"/>
          <w:sz w:val="24"/>
          <w:szCs w:val="24"/>
        </w:rPr>
        <w:t xml:space="preserve">While HP has just recently entered the netbook market, it has already expanded its netbook line up to five different models. </w:t>
      </w:r>
      <w:r w:rsidR="00CD0ED7" w:rsidRPr="0063175E">
        <w:rPr>
          <w:rFonts w:ascii="Times New Roman" w:hAnsi="Times New Roman" w:cs="Times New Roman"/>
          <w:sz w:val="24"/>
          <w:szCs w:val="24"/>
        </w:rPr>
        <w:t xml:space="preserve">The netbook market is too highly competitive with too few barriers to entry, and the returns are too slim.  </w:t>
      </w:r>
      <w:r w:rsidR="003F13C2" w:rsidRPr="0063175E">
        <w:rPr>
          <w:rFonts w:ascii="Times New Roman" w:hAnsi="Times New Roman" w:cs="Times New Roman"/>
          <w:sz w:val="24"/>
          <w:szCs w:val="24"/>
        </w:rPr>
        <w:t>Products are now almost indistinguishable</w:t>
      </w:r>
      <w:r w:rsidR="00EA6D4D" w:rsidRPr="0063175E">
        <w:rPr>
          <w:rFonts w:ascii="Times New Roman" w:hAnsi="Times New Roman" w:cs="Times New Roman"/>
          <w:sz w:val="24"/>
          <w:szCs w:val="24"/>
        </w:rPr>
        <w:t xml:space="preserve"> between brands. As for the Slate market, the HP Slate has failed to come close to the main competition (iPad) or offer any unique feature, and at a higher price. As companies rush to enter the slate market after Apple, it appears as though it will follow a similar path as the netbook market and become over saturated, with low barriers to entry, and will be dominated by the Apple iPad, and HP does not have the design specialization to create a decent product. </w:t>
      </w:r>
    </w:p>
    <w:p w:rsidR="0063175E" w:rsidRPr="0063175E" w:rsidRDefault="006A603A" w:rsidP="0063175E">
      <w:pPr>
        <w:pStyle w:val="ListParagraph"/>
        <w:numPr>
          <w:ilvl w:val="1"/>
          <w:numId w:val="1"/>
        </w:numPr>
        <w:spacing w:line="480" w:lineRule="auto"/>
        <w:rPr>
          <w:rFonts w:ascii="Times New Roman" w:hAnsi="Times New Roman" w:cs="Times New Roman"/>
          <w:sz w:val="24"/>
          <w:szCs w:val="24"/>
        </w:rPr>
      </w:pPr>
      <w:r w:rsidRPr="0063175E">
        <w:rPr>
          <w:rFonts w:ascii="Times New Roman" w:hAnsi="Times New Roman" w:cs="Times New Roman"/>
          <w:sz w:val="24"/>
          <w:szCs w:val="24"/>
        </w:rPr>
        <w:t>Future Acquisition</w:t>
      </w:r>
    </w:p>
    <w:p w:rsidR="007F298D" w:rsidRDefault="006A603A" w:rsidP="007F298D">
      <w:pPr>
        <w:spacing w:line="480" w:lineRule="auto"/>
        <w:ind w:left="720" w:firstLine="360"/>
        <w:rPr>
          <w:rFonts w:ascii="Times New Roman" w:hAnsi="Times New Roman" w:cs="Times New Roman"/>
          <w:sz w:val="24"/>
          <w:szCs w:val="24"/>
        </w:rPr>
      </w:pPr>
      <w:r w:rsidRPr="007F298D">
        <w:rPr>
          <w:rFonts w:ascii="Times New Roman" w:hAnsi="Times New Roman" w:cs="Times New Roman"/>
          <w:sz w:val="24"/>
          <w:szCs w:val="24"/>
        </w:rPr>
        <w:t xml:space="preserve">While we currently have this advantage over Dell, they are not that far behind us. After our acquisition of EDS in 2008, Dell bought Perot Systems in 2009 to better compete in the managed IT services market. There is nothing to stop them from acquiring a networking equipment manufacturer of their own, though currently we do not believe that there is another more desirable option for acquisition now that we have purchased 3com. However there is the possibility with the recent bankruptcy and dissolution of Nortel networks that Dell may be able to pick up their network equipment business unit </w:t>
      </w:r>
      <w:r w:rsidRPr="007F298D">
        <w:rPr>
          <w:rFonts w:ascii="Times New Roman" w:hAnsi="Times New Roman" w:cs="Times New Roman"/>
          <w:sz w:val="24"/>
          <w:szCs w:val="24"/>
        </w:rPr>
        <w:lastRenderedPageBreak/>
        <w:t xml:space="preserve">at a bargain rate. While we do not feel that Nortel Network's product line is as robust as HP/3com's it would give them a better ability to compete in this space. </w:t>
      </w:r>
    </w:p>
    <w:p w:rsidR="007F298D" w:rsidRDefault="006A603A" w:rsidP="007F298D">
      <w:pPr>
        <w:spacing w:line="480" w:lineRule="auto"/>
        <w:ind w:left="720" w:firstLine="360"/>
        <w:rPr>
          <w:rFonts w:ascii="Times New Roman" w:hAnsi="Times New Roman" w:cs="Times New Roman"/>
          <w:sz w:val="24"/>
          <w:szCs w:val="24"/>
        </w:rPr>
      </w:pPr>
      <w:r w:rsidRPr="007F298D">
        <w:rPr>
          <w:rFonts w:ascii="Times New Roman" w:hAnsi="Times New Roman" w:cs="Times New Roman"/>
          <w:sz w:val="24"/>
          <w:szCs w:val="24"/>
        </w:rPr>
        <w:t xml:space="preserve">In order to stay ahead of Dell, we believe that the best strategy is to acquire </w:t>
      </w:r>
      <w:proofErr w:type="spellStart"/>
      <w:r w:rsidRPr="007F298D">
        <w:rPr>
          <w:rFonts w:ascii="Times New Roman" w:hAnsi="Times New Roman" w:cs="Times New Roman"/>
          <w:sz w:val="24"/>
          <w:szCs w:val="24"/>
        </w:rPr>
        <w:t>Belkin</w:t>
      </w:r>
      <w:proofErr w:type="spellEnd"/>
      <w:r w:rsidRPr="007F298D">
        <w:rPr>
          <w:rFonts w:ascii="Times New Roman" w:hAnsi="Times New Roman" w:cs="Times New Roman"/>
          <w:sz w:val="24"/>
          <w:szCs w:val="24"/>
        </w:rPr>
        <w:t xml:space="preserve"> International, Inc. </w:t>
      </w:r>
      <w:proofErr w:type="spellStart"/>
      <w:r w:rsidRPr="007F298D">
        <w:rPr>
          <w:rFonts w:ascii="Times New Roman" w:hAnsi="Times New Roman" w:cs="Times New Roman"/>
          <w:sz w:val="24"/>
          <w:szCs w:val="24"/>
        </w:rPr>
        <w:t>Belkin</w:t>
      </w:r>
      <w:proofErr w:type="spellEnd"/>
      <w:r w:rsidRPr="007F298D">
        <w:rPr>
          <w:rFonts w:ascii="Times New Roman" w:hAnsi="Times New Roman" w:cs="Times New Roman"/>
          <w:sz w:val="24"/>
          <w:szCs w:val="24"/>
        </w:rPr>
        <w:t xml:space="preserve"> produces many products that would fill in the small gaps in an HP datacenter. While </w:t>
      </w:r>
      <w:proofErr w:type="spellStart"/>
      <w:r w:rsidRPr="007F298D">
        <w:rPr>
          <w:rFonts w:ascii="Times New Roman" w:hAnsi="Times New Roman" w:cs="Times New Roman"/>
          <w:sz w:val="24"/>
          <w:szCs w:val="24"/>
        </w:rPr>
        <w:t>Belkin</w:t>
      </w:r>
      <w:proofErr w:type="spellEnd"/>
      <w:r w:rsidRPr="007F298D">
        <w:rPr>
          <w:rFonts w:ascii="Times New Roman" w:hAnsi="Times New Roman" w:cs="Times New Roman"/>
          <w:sz w:val="24"/>
          <w:szCs w:val="24"/>
        </w:rPr>
        <w:t xml:space="preserve"> is mostly targeted at the consumer market, they also make datacenter level equipment. They build enclosures and racks for network switches and routers, network cables, KVM switches that are used by IT professionals to control many computers from one terminal, and importantly they also provide backup power solutions. Power is the lifeblood of a Datacenter, and any good one will have multiple redundant power sources, which we will also be able to provide. With HP's track record of success with mergers we believe that the acquisition of </w:t>
      </w:r>
      <w:proofErr w:type="spellStart"/>
      <w:r w:rsidRPr="007F298D">
        <w:rPr>
          <w:rFonts w:ascii="Times New Roman" w:hAnsi="Times New Roman" w:cs="Times New Roman"/>
          <w:sz w:val="24"/>
          <w:szCs w:val="24"/>
        </w:rPr>
        <w:t>Belkin</w:t>
      </w:r>
      <w:proofErr w:type="spellEnd"/>
      <w:r w:rsidRPr="007F298D">
        <w:rPr>
          <w:rFonts w:ascii="Times New Roman" w:hAnsi="Times New Roman" w:cs="Times New Roman"/>
          <w:sz w:val="24"/>
          <w:szCs w:val="24"/>
        </w:rPr>
        <w:t xml:space="preserve"> will allow us to jump even further ahead of Dell in the datacenter product space.</w:t>
      </w:r>
    </w:p>
    <w:p w:rsidR="006A603A" w:rsidRPr="007F298D" w:rsidRDefault="006A603A" w:rsidP="007F298D">
      <w:pPr>
        <w:spacing w:line="480" w:lineRule="auto"/>
        <w:ind w:left="720" w:firstLine="360"/>
        <w:rPr>
          <w:rFonts w:ascii="Times New Roman" w:hAnsi="Times New Roman" w:cs="Times New Roman"/>
          <w:sz w:val="24"/>
          <w:szCs w:val="24"/>
        </w:rPr>
      </w:pPr>
      <w:r w:rsidRPr="007F298D">
        <w:rPr>
          <w:rFonts w:ascii="Times New Roman" w:hAnsi="Times New Roman" w:cs="Times New Roman"/>
          <w:sz w:val="24"/>
          <w:szCs w:val="24"/>
        </w:rPr>
        <w:t xml:space="preserve">As one of the side effects of acquiring </w:t>
      </w:r>
      <w:proofErr w:type="spellStart"/>
      <w:r w:rsidRPr="007F298D">
        <w:rPr>
          <w:rFonts w:ascii="Times New Roman" w:hAnsi="Times New Roman" w:cs="Times New Roman"/>
          <w:sz w:val="24"/>
          <w:szCs w:val="24"/>
        </w:rPr>
        <w:t>Belkin</w:t>
      </w:r>
      <w:proofErr w:type="spellEnd"/>
      <w:r w:rsidRPr="007F298D">
        <w:rPr>
          <w:rFonts w:ascii="Times New Roman" w:hAnsi="Times New Roman" w:cs="Times New Roman"/>
          <w:sz w:val="24"/>
          <w:szCs w:val="24"/>
        </w:rPr>
        <w:t xml:space="preserve">, we will also be able to compete in the home router market. We would recommend keeping this unit in business to provide a product line for home consumers much in the same way that Cisco created the Linksys line of home routers and network interface cards to capitalize on their professional brand; we believe that a </w:t>
      </w:r>
      <w:proofErr w:type="spellStart"/>
      <w:r w:rsidRPr="007F298D">
        <w:rPr>
          <w:rFonts w:ascii="Times New Roman" w:hAnsi="Times New Roman" w:cs="Times New Roman"/>
          <w:sz w:val="24"/>
          <w:szCs w:val="24"/>
        </w:rPr>
        <w:t>Belkin</w:t>
      </w:r>
      <w:proofErr w:type="spellEnd"/>
      <w:r w:rsidRPr="007F298D">
        <w:rPr>
          <w:rFonts w:ascii="Times New Roman" w:hAnsi="Times New Roman" w:cs="Times New Roman"/>
          <w:sz w:val="24"/>
          <w:szCs w:val="24"/>
        </w:rPr>
        <w:t xml:space="preserve"> by HP product line could be competitive.</w:t>
      </w:r>
    </w:p>
    <w:sectPr w:rsidR="006A603A" w:rsidRPr="007F298D" w:rsidSect="00742DB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F85026"/>
    <w:multiLevelType w:val="hybridMultilevel"/>
    <w:tmpl w:val="231C4C4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F311B44"/>
    <w:multiLevelType w:val="hybridMultilevel"/>
    <w:tmpl w:val="48F67C10"/>
    <w:lvl w:ilvl="0" w:tplc="80280CEA">
      <w:start w:val="2"/>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6DB63C14"/>
    <w:multiLevelType w:val="hybridMultilevel"/>
    <w:tmpl w:val="14A6829C"/>
    <w:lvl w:ilvl="0" w:tplc="04090013">
      <w:start w:val="1"/>
      <w:numFmt w:val="upperRoman"/>
      <w:lvlText w:val="%1."/>
      <w:lvlJc w:val="righ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6E5A46B2"/>
    <w:multiLevelType w:val="hybridMultilevel"/>
    <w:tmpl w:val="E950539E"/>
    <w:lvl w:ilvl="0" w:tplc="36F835BC">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D9A5B53"/>
    <w:multiLevelType w:val="hybridMultilevel"/>
    <w:tmpl w:val="C756E4E6"/>
    <w:lvl w:ilvl="0" w:tplc="80280CEA">
      <w:start w:val="2"/>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64941"/>
    <w:rsid w:val="000744D8"/>
    <w:rsid w:val="000A523B"/>
    <w:rsid w:val="00104E06"/>
    <w:rsid w:val="0012325B"/>
    <w:rsid w:val="00225146"/>
    <w:rsid w:val="00255049"/>
    <w:rsid w:val="00331C1E"/>
    <w:rsid w:val="003F13C2"/>
    <w:rsid w:val="003F73F0"/>
    <w:rsid w:val="0063175E"/>
    <w:rsid w:val="00664941"/>
    <w:rsid w:val="006A603A"/>
    <w:rsid w:val="00715319"/>
    <w:rsid w:val="00742DBD"/>
    <w:rsid w:val="007A371A"/>
    <w:rsid w:val="007B5363"/>
    <w:rsid w:val="007F298D"/>
    <w:rsid w:val="007F4A2E"/>
    <w:rsid w:val="008A44DF"/>
    <w:rsid w:val="008F497B"/>
    <w:rsid w:val="00986F6F"/>
    <w:rsid w:val="00C6103A"/>
    <w:rsid w:val="00CB4D95"/>
    <w:rsid w:val="00CD0651"/>
    <w:rsid w:val="00CD0ED7"/>
    <w:rsid w:val="00CD3106"/>
    <w:rsid w:val="00D761D8"/>
    <w:rsid w:val="00DE4620"/>
    <w:rsid w:val="00EA6D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D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494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7B5363"/>
    <w:pPr>
      <w:ind w:left="720"/>
      <w:contextualSpacing/>
    </w:pPr>
  </w:style>
  <w:style w:type="paragraph" w:styleId="BalloonText">
    <w:name w:val="Balloon Text"/>
    <w:basedOn w:val="Normal"/>
    <w:link w:val="BalloonTextChar"/>
    <w:uiPriority w:val="99"/>
    <w:semiHidden/>
    <w:unhideWhenUsed/>
    <w:rsid w:val="000A52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52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1953076">
      <w:bodyDiv w:val="1"/>
      <w:marLeft w:val="0"/>
      <w:marRight w:val="0"/>
      <w:marTop w:val="0"/>
      <w:marBottom w:val="0"/>
      <w:divBdr>
        <w:top w:val="none" w:sz="0" w:space="0" w:color="auto"/>
        <w:left w:val="none" w:sz="0" w:space="0" w:color="auto"/>
        <w:bottom w:val="none" w:sz="0" w:space="0" w:color="auto"/>
        <w:right w:val="none" w:sz="0" w:space="0" w:color="auto"/>
      </w:divBdr>
      <w:divsChild>
        <w:div w:id="807943194">
          <w:marLeft w:val="0"/>
          <w:marRight w:val="0"/>
          <w:marTop w:val="0"/>
          <w:marBottom w:val="0"/>
          <w:divBdr>
            <w:top w:val="none" w:sz="0" w:space="0" w:color="auto"/>
            <w:left w:val="none" w:sz="0" w:space="0" w:color="auto"/>
            <w:bottom w:val="none" w:sz="0" w:space="0" w:color="auto"/>
            <w:right w:val="none" w:sz="0" w:space="0" w:color="auto"/>
          </w:divBdr>
          <w:divsChild>
            <w:div w:id="297339098">
              <w:marLeft w:val="102"/>
              <w:marRight w:val="0"/>
              <w:marTop w:val="0"/>
              <w:marBottom w:val="0"/>
              <w:divBdr>
                <w:top w:val="none" w:sz="0" w:space="0" w:color="auto"/>
                <w:left w:val="none" w:sz="0" w:space="0" w:color="auto"/>
                <w:bottom w:val="none" w:sz="0" w:space="0" w:color="auto"/>
                <w:right w:val="none" w:sz="0" w:space="0" w:color="auto"/>
              </w:divBdr>
              <w:divsChild>
                <w:div w:id="2036419843">
                  <w:marLeft w:val="0"/>
                  <w:marRight w:val="0"/>
                  <w:marTop w:val="0"/>
                  <w:marBottom w:val="102"/>
                  <w:divBdr>
                    <w:top w:val="none" w:sz="0" w:space="0" w:color="auto"/>
                    <w:left w:val="none" w:sz="0" w:space="0" w:color="auto"/>
                    <w:bottom w:val="none" w:sz="0" w:space="0" w:color="auto"/>
                    <w:right w:val="none" w:sz="0" w:space="0" w:color="auto"/>
                  </w:divBdr>
                  <w:divsChild>
                    <w:div w:id="2043675391">
                      <w:marLeft w:val="0"/>
                      <w:marRight w:val="0"/>
                      <w:marTop w:val="0"/>
                      <w:marBottom w:val="102"/>
                      <w:divBdr>
                        <w:top w:val="none" w:sz="0" w:space="0" w:color="auto"/>
                        <w:left w:val="none" w:sz="0" w:space="0" w:color="auto"/>
                        <w:bottom w:val="none" w:sz="0" w:space="0" w:color="auto"/>
                        <w:right w:val="none" w:sz="0" w:space="0" w:color="auto"/>
                      </w:divBdr>
                      <w:divsChild>
                        <w:div w:id="95763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lid039\Local%20Settings\Temp\revenu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lid039\Local%20Settings\Temp\revenu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lid039\Local%20Settings\Temp\revenu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lid039\Local%20Settings\Temp\revenu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Segmented Profit (Loss)</a:t>
            </a:r>
          </a:p>
        </c:rich>
      </c:tx>
    </c:title>
    <c:plotArea>
      <c:layout/>
      <c:lineChart>
        <c:grouping val="standard"/>
        <c:ser>
          <c:idx val="0"/>
          <c:order val="0"/>
          <c:tx>
            <c:strRef>
              <c:f>Sheet1!$A$19</c:f>
              <c:strCache>
                <c:ptCount val="1"/>
                <c:pt idx="0">
                  <c:v>Total Enterprise</c:v>
                </c:pt>
              </c:strCache>
            </c:strRef>
          </c:tx>
          <c:cat>
            <c:numRef>
              <c:f>Sheet1!$E$18:$G$18</c:f>
              <c:numCache>
                <c:formatCode>General</c:formatCode>
                <c:ptCount val="3"/>
                <c:pt idx="0">
                  <c:v>2007</c:v>
                </c:pt>
                <c:pt idx="1">
                  <c:v>2008</c:v>
                </c:pt>
                <c:pt idx="2">
                  <c:v>2009</c:v>
                </c:pt>
              </c:numCache>
            </c:numRef>
          </c:cat>
          <c:val>
            <c:numRef>
              <c:f>Sheet1!$E$19:$G$19</c:f>
              <c:numCache>
                <c:formatCode>"$"#,##0_);[Red]\("$"#,##0\)</c:formatCode>
                <c:ptCount val="3"/>
                <c:pt idx="0">
                  <c:v>4178</c:v>
                </c:pt>
                <c:pt idx="1">
                  <c:v>5594</c:v>
                </c:pt>
                <c:pt idx="2">
                  <c:v>7246</c:v>
                </c:pt>
              </c:numCache>
            </c:numRef>
          </c:val>
        </c:ser>
        <c:ser>
          <c:idx val="1"/>
          <c:order val="1"/>
          <c:tx>
            <c:strRef>
              <c:f>Sheet1!$A$20</c:f>
              <c:strCache>
                <c:ptCount val="1"/>
                <c:pt idx="0">
                  <c:v>Personal Systems Group</c:v>
                </c:pt>
              </c:strCache>
            </c:strRef>
          </c:tx>
          <c:cat>
            <c:numRef>
              <c:f>Sheet1!$E$18:$G$18</c:f>
              <c:numCache>
                <c:formatCode>General</c:formatCode>
                <c:ptCount val="3"/>
                <c:pt idx="0">
                  <c:v>2007</c:v>
                </c:pt>
                <c:pt idx="1">
                  <c:v>2008</c:v>
                </c:pt>
                <c:pt idx="2">
                  <c:v>2009</c:v>
                </c:pt>
              </c:numCache>
            </c:numRef>
          </c:cat>
          <c:val>
            <c:numRef>
              <c:f>Sheet1!$E$20:$G$20</c:f>
              <c:numCache>
                <c:formatCode>"$"#,##0_);[Red]\("$"#,##0\)</c:formatCode>
                <c:ptCount val="3"/>
                <c:pt idx="0">
                  <c:v>1939</c:v>
                </c:pt>
                <c:pt idx="1">
                  <c:v>2375</c:v>
                </c:pt>
                <c:pt idx="2">
                  <c:v>1661</c:v>
                </c:pt>
              </c:numCache>
            </c:numRef>
          </c:val>
        </c:ser>
        <c:ser>
          <c:idx val="2"/>
          <c:order val="2"/>
          <c:tx>
            <c:strRef>
              <c:f>Sheet1!$A$21</c:f>
              <c:strCache>
                <c:ptCount val="1"/>
                <c:pt idx="0">
                  <c:v>Imaging and Printing Group</c:v>
                </c:pt>
              </c:strCache>
            </c:strRef>
          </c:tx>
          <c:cat>
            <c:numRef>
              <c:f>Sheet1!$E$18:$G$18</c:f>
              <c:numCache>
                <c:formatCode>General</c:formatCode>
                <c:ptCount val="3"/>
                <c:pt idx="0">
                  <c:v>2007</c:v>
                </c:pt>
                <c:pt idx="1">
                  <c:v>2008</c:v>
                </c:pt>
                <c:pt idx="2">
                  <c:v>2009</c:v>
                </c:pt>
              </c:numCache>
            </c:numRef>
          </c:cat>
          <c:val>
            <c:numRef>
              <c:f>Sheet1!$E$21:$G$21</c:f>
              <c:numCache>
                <c:formatCode>"$"#,##0_);[Red]\("$"#,##0\)</c:formatCode>
                <c:ptCount val="3"/>
                <c:pt idx="0">
                  <c:v>4293</c:v>
                </c:pt>
                <c:pt idx="1">
                  <c:v>4559</c:v>
                </c:pt>
                <c:pt idx="2">
                  <c:v>4310</c:v>
                </c:pt>
              </c:numCache>
            </c:numRef>
          </c:val>
        </c:ser>
        <c:ser>
          <c:idx val="3"/>
          <c:order val="3"/>
          <c:tx>
            <c:strRef>
              <c:f>Sheet1!$A$22</c:f>
              <c:strCache>
                <c:ptCount val="1"/>
                <c:pt idx="0">
                  <c:v>HP Financial Services</c:v>
                </c:pt>
              </c:strCache>
            </c:strRef>
          </c:tx>
          <c:cat>
            <c:numRef>
              <c:f>Sheet1!$E$18:$G$18</c:f>
              <c:numCache>
                <c:formatCode>General</c:formatCode>
                <c:ptCount val="3"/>
                <c:pt idx="0">
                  <c:v>2007</c:v>
                </c:pt>
                <c:pt idx="1">
                  <c:v>2008</c:v>
                </c:pt>
                <c:pt idx="2">
                  <c:v>2009</c:v>
                </c:pt>
              </c:numCache>
            </c:numRef>
          </c:cat>
          <c:val>
            <c:numRef>
              <c:f>Sheet1!$E$22:$G$22</c:f>
              <c:numCache>
                <c:formatCode>"$"#,##0_);[Red]\("$"#,##0\)</c:formatCode>
                <c:ptCount val="3"/>
                <c:pt idx="0">
                  <c:v>155</c:v>
                </c:pt>
                <c:pt idx="1">
                  <c:v>192</c:v>
                </c:pt>
                <c:pt idx="2">
                  <c:v>206</c:v>
                </c:pt>
              </c:numCache>
            </c:numRef>
          </c:val>
        </c:ser>
        <c:ser>
          <c:idx val="4"/>
          <c:order val="4"/>
          <c:tx>
            <c:strRef>
              <c:f>Sheet1!$A$23</c:f>
              <c:strCache>
                <c:ptCount val="1"/>
                <c:pt idx="0">
                  <c:v>Corporate Investments</c:v>
                </c:pt>
              </c:strCache>
            </c:strRef>
          </c:tx>
          <c:cat>
            <c:numRef>
              <c:f>Sheet1!$E$18:$G$18</c:f>
              <c:numCache>
                <c:formatCode>General</c:formatCode>
                <c:ptCount val="3"/>
                <c:pt idx="0">
                  <c:v>2007</c:v>
                </c:pt>
                <c:pt idx="1">
                  <c:v>2008</c:v>
                </c:pt>
                <c:pt idx="2">
                  <c:v>2009</c:v>
                </c:pt>
              </c:numCache>
            </c:numRef>
          </c:cat>
          <c:val>
            <c:numRef>
              <c:f>Sheet1!$E$23:$G$23</c:f>
              <c:numCache>
                <c:formatCode>"$"#,##0_);[Red]\("$"#,##0\)</c:formatCode>
                <c:ptCount val="3"/>
                <c:pt idx="0">
                  <c:v>-57</c:v>
                </c:pt>
                <c:pt idx="1">
                  <c:v>49</c:v>
                </c:pt>
                <c:pt idx="2">
                  <c:v>-56</c:v>
                </c:pt>
              </c:numCache>
            </c:numRef>
          </c:val>
        </c:ser>
        <c:marker val="1"/>
        <c:axId val="85335424"/>
        <c:axId val="86599168"/>
      </c:lineChart>
      <c:catAx>
        <c:axId val="85335424"/>
        <c:scaling>
          <c:orientation val="minMax"/>
        </c:scaling>
        <c:axPos val="b"/>
        <c:numFmt formatCode="General" sourceLinked="1"/>
        <c:tickLblPos val="nextTo"/>
        <c:crossAx val="86599168"/>
        <c:crosses val="autoZero"/>
        <c:auto val="1"/>
        <c:lblAlgn val="ctr"/>
        <c:lblOffset val="100"/>
      </c:catAx>
      <c:valAx>
        <c:axId val="86599168"/>
        <c:scaling>
          <c:orientation val="minMax"/>
        </c:scaling>
        <c:axPos val="l"/>
        <c:majorGridlines/>
        <c:numFmt formatCode="&quot;$&quot;#,##0_);[Red]\(&quot;$&quot;#,##0\)" sourceLinked="1"/>
        <c:tickLblPos val="nextTo"/>
        <c:crossAx val="85335424"/>
        <c:crosses val="autoZero"/>
        <c:crossBetween val="between"/>
      </c:valAx>
    </c:plotArea>
    <c:legend>
      <c:legendPos val="r"/>
      <c:layout>
        <c:manualLayout>
          <c:xMode val="edge"/>
          <c:yMode val="edge"/>
          <c:x val="0.6382481291875387"/>
          <c:y val="0.23390513685789302"/>
          <c:w val="0.35038445582081057"/>
          <c:h val="0.5864043036287131"/>
        </c:manualLayout>
      </c:layout>
    </c:legend>
    <c:plotVisOnly val="1"/>
  </c:chart>
  <c:txPr>
    <a:bodyPr/>
    <a:lstStyle/>
    <a:p>
      <a:pPr>
        <a:defRPr sz="700" baseline="0"/>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Segmented Revenue</a:t>
            </a:r>
          </a:p>
        </c:rich>
      </c:tx>
      <c:layout>
        <c:manualLayout>
          <c:xMode val="edge"/>
          <c:yMode val="edge"/>
          <c:x val="0.25022853019004088"/>
          <c:y val="6.7264573991031432E-2"/>
        </c:manualLayout>
      </c:layout>
    </c:title>
    <c:plotArea>
      <c:layout/>
      <c:lineChart>
        <c:grouping val="standard"/>
        <c:ser>
          <c:idx val="0"/>
          <c:order val="0"/>
          <c:tx>
            <c:strRef>
              <c:f>Sheet1!$A$3</c:f>
              <c:strCache>
                <c:ptCount val="1"/>
                <c:pt idx="0">
                  <c:v>Total Enterprise</c:v>
                </c:pt>
              </c:strCache>
            </c:strRef>
          </c:tx>
          <c:cat>
            <c:numRef>
              <c:f>Sheet1!$E$2:$G$2</c:f>
              <c:numCache>
                <c:formatCode>General</c:formatCode>
                <c:ptCount val="3"/>
                <c:pt idx="0">
                  <c:v>2007</c:v>
                </c:pt>
                <c:pt idx="1">
                  <c:v>2008</c:v>
                </c:pt>
                <c:pt idx="2">
                  <c:v>2009</c:v>
                </c:pt>
              </c:numCache>
            </c:numRef>
          </c:cat>
          <c:val>
            <c:numRef>
              <c:f>Sheet1!$E$3:$G$3</c:f>
              <c:numCache>
                <c:formatCode>#,##0</c:formatCode>
                <c:ptCount val="3"/>
                <c:pt idx="0">
                  <c:v>37596</c:v>
                </c:pt>
                <c:pt idx="1">
                  <c:v>44597</c:v>
                </c:pt>
                <c:pt idx="2">
                  <c:v>53624</c:v>
                </c:pt>
              </c:numCache>
            </c:numRef>
          </c:val>
        </c:ser>
        <c:ser>
          <c:idx val="1"/>
          <c:order val="1"/>
          <c:tx>
            <c:strRef>
              <c:f>Sheet1!$A$4</c:f>
              <c:strCache>
                <c:ptCount val="1"/>
                <c:pt idx="0">
                  <c:v>Personal Systems Group</c:v>
                </c:pt>
              </c:strCache>
            </c:strRef>
          </c:tx>
          <c:cat>
            <c:numRef>
              <c:f>Sheet1!$E$2:$G$2</c:f>
              <c:numCache>
                <c:formatCode>General</c:formatCode>
                <c:ptCount val="3"/>
                <c:pt idx="0">
                  <c:v>2007</c:v>
                </c:pt>
                <c:pt idx="1">
                  <c:v>2008</c:v>
                </c:pt>
                <c:pt idx="2">
                  <c:v>2009</c:v>
                </c:pt>
              </c:numCache>
            </c:numRef>
          </c:cat>
          <c:val>
            <c:numRef>
              <c:f>Sheet1!$E$4:$G$4</c:f>
              <c:numCache>
                <c:formatCode>General</c:formatCode>
                <c:ptCount val="3"/>
                <c:pt idx="0">
                  <c:v>36409</c:v>
                </c:pt>
                <c:pt idx="1">
                  <c:v>42295</c:v>
                </c:pt>
                <c:pt idx="2">
                  <c:v>35305</c:v>
                </c:pt>
              </c:numCache>
            </c:numRef>
          </c:val>
        </c:ser>
        <c:ser>
          <c:idx val="2"/>
          <c:order val="2"/>
          <c:tx>
            <c:strRef>
              <c:f>Sheet1!$A$5</c:f>
              <c:strCache>
                <c:ptCount val="1"/>
                <c:pt idx="0">
                  <c:v>Imaging and Printing Group</c:v>
                </c:pt>
              </c:strCache>
            </c:strRef>
          </c:tx>
          <c:cat>
            <c:numRef>
              <c:f>Sheet1!$E$2:$G$2</c:f>
              <c:numCache>
                <c:formatCode>General</c:formatCode>
                <c:ptCount val="3"/>
                <c:pt idx="0">
                  <c:v>2007</c:v>
                </c:pt>
                <c:pt idx="1">
                  <c:v>2008</c:v>
                </c:pt>
                <c:pt idx="2">
                  <c:v>2009</c:v>
                </c:pt>
              </c:numCache>
            </c:numRef>
          </c:cat>
          <c:val>
            <c:numRef>
              <c:f>Sheet1!$E$5:$G$5</c:f>
              <c:numCache>
                <c:formatCode>General</c:formatCode>
                <c:ptCount val="3"/>
                <c:pt idx="0">
                  <c:v>28609</c:v>
                </c:pt>
                <c:pt idx="1">
                  <c:v>29614</c:v>
                </c:pt>
                <c:pt idx="2">
                  <c:v>24011</c:v>
                </c:pt>
              </c:numCache>
            </c:numRef>
          </c:val>
        </c:ser>
        <c:ser>
          <c:idx val="3"/>
          <c:order val="3"/>
          <c:tx>
            <c:strRef>
              <c:f>Sheet1!$A$6</c:f>
              <c:strCache>
                <c:ptCount val="1"/>
                <c:pt idx="0">
                  <c:v>HP Financial Services</c:v>
                </c:pt>
              </c:strCache>
            </c:strRef>
          </c:tx>
          <c:cat>
            <c:numRef>
              <c:f>Sheet1!$E$2:$G$2</c:f>
              <c:numCache>
                <c:formatCode>General</c:formatCode>
                <c:ptCount val="3"/>
                <c:pt idx="0">
                  <c:v>2007</c:v>
                </c:pt>
                <c:pt idx="1">
                  <c:v>2008</c:v>
                </c:pt>
                <c:pt idx="2">
                  <c:v>2009</c:v>
                </c:pt>
              </c:numCache>
            </c:numRef>
          </c:cat>
          <c:val>
            <c:numRef>
              <c:f>Sheet1!$E$6:$G$6</c:f>
              <c:numCache>
                <c:formatCode>General</c:formatCode>
                <c:ptCount val="3"/>
                <c:pt idx="0">
                  <c:v>2336</c:v>
                </c:pt>
                <c:pt idx="1">
                  <c:v>2698</c:v>
                </c:pt>
                <c:pt idx="2">
                  <c:v>2673</c:v>
                </c:pt>
              </c:numCache>
            </c:numRef>
          </c:val>
        </c:ser>
        <c:ser>
          <c:idx val="4"/>
          <c:order val="4"/>
          <c:tx>
            <c:strRef>
              <c:f>Sheet1!$A$7</c:f>
              <c:strCache>
                <c:ptCount val="1"/>
                <c:pt idx="0">
                  <c:v>Corporate Investments</c:v>
                </c:pt>
              </c:strCache>
            </c:strRef>
          </c:tx>
          <c:cat>
            <c:numRef>
              <c:f>Sheet1!$E$2:$G$2</c:f>
              <c:numCache>
                <c:formatCode>General</c:formatCode>
                <c:ptCount val="3"/>
                <c:pt idx="0">
                  <c:v>2007</c:v>
                </c:pt>
                <c:pt idx="1">
                  <c:v>2008</c:v>
                </c:pt>
                <c:pt idx="2">
                  <c:v>2009</c:v>
                </c:pt>
              </c:numCache>
            </c:numRef>
          </c:cat>
          <c:val>
            <c:numRef>
              <c:f>Sheet1!$E$7:$G$7</c:f>
              <c:numCache>
                <c:formatCode>General</c:formatCode>
                <c:ptCount val="3"/>
                <c:pt idx="0">
                  <c:v>762</c:v>
                </c:pt>
                <c:pt idx="1">
                  <c:v>965</c:v>
                </c:pt>
                <c:pt idx="2">
                  <c:v>768</c:v>
                </c:pt>
              </c:numCache>
            </c:numRef>
          </c:val>
        </c:ser>
        <c:marker val="1"/>
        <c:axId val="89899392"/>
        <c:axId val="68952448"/>
      </c:lineChart>
      <c:catAx>
        <c:axId val="89899392"/>
        <c:scaling>
          <c:orientation val="minMax"/>
        </c:scaling>
        <c:axPos val="b"/>
        <c:numFmt formatCode="General" sourceLinked="1"/>
        <c:tickLblPos val="nextTo"/>
        <c:crossAx val="68952448"/>
        <c:crosses val="autoZero"/>
        <c:auto val="1"/>
        <c:lblAlgn val="ctr"/>
        <c:lblOffset val="100"/>
      </c:catAx>
      <c:valAx>
        <c:axId val="68952448"/>
        <c:scaling>
          <c:orientation val="minMax"/>
        </c:scaling>
        <c:axPos val="l"/>
        <c:majorGridlines/>
        <c:numFmt formatCode="#,##0" sourceLinked="1"/>
        <c:tickLblPos val="nextTo"/>
        <c:crossAx val="89899392"/>
        <c:crosses val="autoZero"/>
        <c:crossBetween val="between"/>
      </c:valAx>
    </c:plotArea>
    <c:legend>
      <c:legendPos val="r"/>
    </c:legend>
    <c:plotVisOnly val="1"/>
  </c:chart>
  <c:txPr>
    <a:bodyPr/>
    <a:lstStyle/>
    <a:p>
      <a:pPr>
        <a:defRPr sz="700" baseline="0"/>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Enterprise Profit (Loss)</a:t>
            </a:r>
          </a:p>
        </c:rich>
      </c:tx>
    </c:title>
    <c:plotArea>
      <c:layout/>
      <c:lineChart>
        <c:grouping val="standard"/>
        <c:ser>
          <c:idx val="0"/>
          <c:order val="0"/>
          <c:tx>
            <c:strRef>
              <c:f>Sheet1!$A$27</c:f>
              <c:strCache>
                <c:ptCount val="1"/>
                <c:pt idx="0">
                  <c:v>Services</c:v>
                </c:pt>
              </c:strCache>
            </c:strRef>
          </c:tx>
          <c:cat>
            <c:numRef>
              <c:f>Sheet1!$E$26:$G$26</c:f>
              <c:numCache>
                <c:formatCode>General</c:formatCode>
                <c:ptCount val="3"/>
                <c:pt idx="0">
                  <c:v>2007</c:v>
                </c:pt>
                <c:pt idx="1">
                  <c:v>2008</c:v>
                </c:pt>
                <c:pt idx="2">
                  <c:v>2009</c:v>
                </c:pt>
              </c:numCache>
            </c:numRef>
          </c:cat>
          <c:val>
            <c:numRef>
              <c:f>Sheet1!$E$27:$G$27</c:f>
              <c:numCache>
                <c:formatCode>"$"#,##0_);[Red]\("$"#,##0\)</c:formatCode>
                <c:ptCount val="3"/>
                <c:pt idx="0">
                  <c:v>1782</c:v>
                </c:pt>
                <c:pt idx="1">
                  <c:v>2518</c:v>
                </c:pt>
                <c:pt idx="2">
                  <c:v>5044</c:v>
                </c:pt>
              </c:numCache>
            </c:numRef>
          </c:val>
        </c:ser>
        <c:ser>
          <c:idx val="1"/>
          <c:order val="1"/>
          <c:tx>
            <c:strRef>
              <c:f>Sheet1!$A$28</c:f>
              <c:strCache>
                <c:ptCount val="1"/>
                <c:pt idx="0">
                  <c:v>Enterprise Storage and Servers</c:v>
                </c:pt>
              </c:strCache>
            </c:strRef>
          </c:tx>
          <c:cat>
            <c:numRef>
              <c:f>Sheet1!$E$26:$G$26</c:f>
              <c:numCache>
                <c:formatCode>General</c:formatCode>
                <c:ptCount val="3"/>
                <c:pt idx="0">
                  <c:v>2007</c:v>
                </c:pt>
                <c:pt idx="1">
                  <c:v>2008</c:v>
                </c:pt>
                <c:pt idx="2">
                  <c:v>2009</c:v>
                </c:pt>
              </c:numCache>
            </c:numRef>
          </c:cat>
          <c:val>
            <c:numRef>
              <c:f>Sheet1!$E$28:$G$28</c:f>
              <c:numCache>
                <c:formatCode>"$"#,##0_);[Red]\("$"#,##0\)</c:formatCode>
                <c:ptCount val="3"/>
                <c:pt idx="0">
                  <c:v>2148</c:v>
                </c:pt>
                <c:pt idx="1">
                  <c:v>2577</c:v>
                </c:pt>
                <c:pt idx="2">
                  <c:v>1518</c:v>
                </c:pt>
              </c:numCache>
            </c:numRef>
          </c:val>
        </c:ser>
        <c:ser>
          <c:idx val="2"/>
          <c:order val="2"/>
          <c:tx>
            <c:strRef>
              <c:f>Sheet1!$A$29</c:f>
              <c:strCache>
                <c:ptCount val="1"/>
                <c:pt idx="0">
                  <c:v>HP Software</c:v>
                </c:pt>
              </c:strCache>
            </c:strRef>
          </c:tx>
          <c:cat>
            <c:numRef>
              <c:f>Sheet1!$E$26:$G$26</c:f>
              <c:numCache>
                <c:formatCode>General</c:formatCode>
                <c:ptCount val="3"/>
                <c:pt idx="0">
                  <c:v>2007</c:v>
                </c:pt>
                <c:pt idx="1">
                  <c:v>2008</c:v>
                </c:pt>
                <c:pt idx="2">
                  <c:v>2009</c:v>
                </c:pt>
              </c:numCache>
            </c:numRef>
          </c:cat>
          <c:val>
            <c:numRef>
              <c:f>Sheet1!$E$29:$G$29</c:f>
              <c:numCache>
                <c:formatCode>"$"#,##0_);[Red]\("$"#,##0\)</c:formatCode>
                <c:ptCount val="3"/>
                <c:pt idx="0">
                  <c:v>248</c:v>
                </c:pt>
                <c:pt idx="1">
                  <c:v>499</c:v>
                </c:pt>
                <c:pt idx="2">
                  <c:v>684</c:v>
                </c:pt>
              </c:numCache>
            </c:numRef>
          </c:val>
        </c:ser>
        <c:marker val="1"/>
        <c:axId val="85124608"/>
        <c:axId val="85126144"/>
      </c:lineChart>
      <c:catAx>
        <c:axId val="85124608"/>
        <c:scaling>
          <c:orientation val="minMax"/>
        </c:scaling>
        <c:axPos val="b"/>
        <c:numFmt formatCode="General" sourceLinked="1"/>
        <c:tickLblPos val="nextTo"/>
        <c:crossAx val="85126144"/>
        <c:crosses val="autoZero"/>
        <c:auto val="1"/>
        <c:lblAlgn val="ctr"/>
        <c:lblOffset val="100"/>
      </c:catAx>
      <c:valAx>
        <c:axId val="85126144"/>
        <c:scaling>
          <c:orientation val="minMax"/>
        </c:scaling>
        <c:axPos val="l"/>
        <c:majorGridlines/>
        <c:numFmt formatCode="&quot;$&quot;#,##0_);[Red]\(&quot;$&quot;#,##0\)" sourceLinked="1"/>
        <c:tickLblPos val="nextTo"/>
        <c:crossAx val="85124608"/>
        <c:crosses val="autoZero"/>
        <c:crossBetween val="between"/>
      </c:valAx>
    </c:plotArea>
    <c:legend>
      <c:legendPos val="r"/>
    </c:legend>
    <c:plotVisOnly val="1"/>
  </c:chart>
  <c:txPr>
    <a:bodyPr/>
    <a:lstStyle/>
    <a:p>
      <a:pPr>
        <a:defRPr sz="700" baseline="0"/>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chart>
    <c:title>
      <c:tx>
        <c:rich>
          <a:bodyPr/>
          <a:lstStyle/>
          <a:p>
            <a:pPr algn="ctr">
              <a:defRPr/>
            </a:pPr>
            <a:r>
              <a:rPr lang="en-US"/>
              <a:t>Enterprise Revenue</a:t>
            </a:r>
          </a:p>
        </c:rich>
      </c:tx>
      <c:layout>
        <c:manualLayout>
          <c:xMode val="edge"/>
          <c:yMode val="edge"/>
          <c:x val="0.22665178985019799"/>
          <c:y val="2.7777681655910651E-2"/>
        </c:manualLayout>
      </c:layout>
    </c:title>
    <c:plotArea>
      <c:layout/>
      <c:lineChart>
        <c:grouping val="standard"/>
        <c:ser>
          <c:idx val="0"/>
          <c:order val="0"/>
          <c:tx>
            <c:strRef>
              <c:f>Sheet1!$A$11</c:f>
              <c:strCache>
                <c:ptCount val="1"/>
                <c:pt idx="0">
                  <c:v>Services</c:v>
                </c:pt>
              </c:strCache>
            </c:strRef>
          </c:tx>
          <c:cat>
            <c:numRef>
              <c:f>Sheet1!$E$10:$G$10</c:f>
              <c:numCache>
                <c:formatCode>General</c:formatCode>
                <c:ptCount val="3"/>
                <c:pt idx="0">
                  <c:v>2007</c:v>
                </c:pt>
                <c:pt idx="1">
                  <c:v>2008</c:v>
                </c:pt>
                <c:pt idx="2">
                  <c:v>2009</c:v>
                </c:pt>
              </c:numCache>
            </c:numRef>
          </c:cat>
          <c:val>
            <c:numRef>
              <c:f>Sheet1!$E$11:$G$11</c:f>
              <c:numCache>
                <c:formatCode>General</c:formatCode>
                <c:ptCount val="3"/>
                <c:pt idx="0" formatCode="#,##0">
                  <c:v>15329</c:v>
                </c:pt>
                <c:pt idx="1">
                  <c:v>20977</c:v>
                </c:pt>
                <c:pt idx="2">
                  <c:v>34693</c:v>
                </c:pt>
              </c:numCache>
            </c:numRef>
          </c:val>
        </c:ser>
        <c:ser>
          <c:idx val="1"/>
          <c:order val="1"/>
          <c:tx>
            <c:strRef>
              <c:f>Sheet1!$A$12</c:f>
              <c:strCache>
                <c:ptCount val="1"/>
                <c:pt idx="0">
                  <c:v>Enterprise Storage and Servers</c:v>
                </c:pt>
              </c:strCache>
            </c:strRef>
          </c:tx>
          <c:cat>
            <c:numRef>
              <c:f>Sheet1!$E$10:$G$10</c:f>
              <c:numCache>
                <c:formatCode>General</c:formatCode>
                <c:ptCount val="3"/>
                <c:pt idx="0">
                  <c:v>2007</c:v>
                </c:pt>
                <c:pt idx="1">
                  <c:v>2008</c:v>
                </c:pt>
                <c:pt idx="2">
                  <c:v>2009</c:v>
                </c:pt>
              </c:numCache>
            </c:numRef>
          </c:cat>
          <c:val>
            <c:numRef>
              <c:f>Sheet1!$E$12:$G$12</c:f>
              <c:numCache>
                <c:formatCode>General</c:formatCode>
                <c:ptCount val="3"/>
                <c:pt idx="0">
                  <c:v>18639</c:v>
                </c:pt>
                <c:pt idx="1">
                  <c:v>19400</c:v>
                </c:pt>
                <c:pt idx="2">
                  <c:v>15359</c:v>
                </c:pt>
              </c:numCache>
            </c:numRef>
          </c:val>
        </c:ser>
        <c:ser>
          <c:idx val="2"/>
          <c:order val="2"/>
          <c:tx>
            <c:strRef>
              <c:f>Sheet1!$A$13</c:f>
              <c:strCache>
                <c:ptCount val="1"/>
                <c:pt idx="0">
                  <c:v>HP Software</c:v>
                </c:pt>
              </c:strCache>
            </c:strRef>
          </c:tx>
          <c:cat>
            <c:numRef>
              <c:f>Sheet1!$E$10:$G$10</c:f>
              <c:numCache>
                <c:formatCode>General</c:formatCode>
                <c:ptCount val="3"/>
                <c:pt idx="0">
                  <c:v>2007</c:v>
                </c:pt>
                <c:pt idx="1">
                  <c:v>2008</c:v>
                </c:pt>
                <c:pt idx="2">
                  <c:v>2009</c:v>
                </c:pt>
              </c:numCache>
            </c:numRef>
          </c:cat>
          <c:val>
            <c:numRef>
              <c:f>Sheet1!$E$13:$G$13</c:f>
              <c:numCache>
                <c:formatCode>General</c:formatCode>
                <c:ptCount val="3"/>
                <c:pt idx="0">
                  <c:v>3628</c:v>
                </c:pt>
                <c:pt idx="1">
                  <c:v>4220</c:v>
                </c:pt>
                <c:pt idx="2">
                  <c:v>3572</c:v>
                </c:pt>
              </c:numCache>
            </c:numRef>
          </c:val>
        </c:ser>
        <c:marker val="1"/>
        <c:axId val="85348736"/>
        <c:axId val="85350272"/>
      </c:lineChart>
      <c:catAx>
        <c:axId val="85348736"/>
        <c:scaling>
          <c:orientation val="minMax"/>
        </c:scaling>
        <c:axPos val="b"/>
        <c:numFmt formatCode="General" sourceLinked="1"/>
        <c:tickLblPos val="nextTo"/>
        <c:crossAx val="85350272"/>
        <c:crosses val="autoZero"/>
        <c:auto val="1"/>
        <c:lblAlgn val="ctr"/>
        <c:lblOffset val="100"/>
      </c:catAx>
      <c:valAx>
        <c:axId val="85350272"/>
        <c:scaling>
          <c:orientation val="minMax"/>
        </c:scaling>
        <c:axPos val="l"/>
        <c:majorGridlines/>
        <c:numFmt formatCode="#,##0" sourceLinked="1"/>
        <c:tickLblPos val="nextTo"/>
        <c:crossAx val="85348736"/>
        <c:crosses val="autoZero"/>
        <c:crossBetween val="between"/>
      </c:valAx>
    </c:plotArea>
    <c:legend>
      <c:legendPos val="r"/>
      <c:layout>
        <c:manualLayout>
          <c:xMode val="edge"/>
          <c:yMode val="edge"/>
          <c:x val="0.65342352735412268"/>
          <c:y val="0.19604787985221248"/>
          <c:w val="0.32428578242841932"/>
          <c:h val="0.70426583010677635"/>
        </c:manualLayout>
      </c:layout>
    </c:legend>
    <c:plotVisOnly val="1"/>
  </c:chart>
  <c:txPr>
    <a:bodyPr/>
    <a:lstStyle/>
    <a:p>
      <a:pPr>
        <a:defRPr sz="700" baseline="0"/>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6F29C-BA21-41F2-AD09-ED1A5BCB1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1000</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Tammikins</dc:creator>
  <cp:lastModifiedBy>UTSA</cp:lastModifiedBy>
  <cp:revision>12</cp:revision>
  <dcterms:created xsi:type="dcterms:W3CDTF">2010-04-08T01:37:00Z</dcterms:created>
  <dcterms:modified xsi:type="dcterms:W3CDTF">2010-04-08T02:12:00Z</dcterms:modified>
</cp:coreProperties>
</file>